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Tanum kommunfullmäktige</w:t>
      </w:r>
    </w:p>
    <w:p>
      <w:pPr>
        <w:pStyle w:val="Heading1"/>
      </w:pPr>
      <w:r>
        <w:t xml:space="preserve">Genomför effektiviseringskrav i kommunens förvaltningar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Tanum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Tanums kommunalskatt är 21,85 kronor. Trots detta visar revisionsrapport 2024 på betydande effektiviseringspotential inom administration. Moderaterna vill prioritera kärnverksamhet.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Tanum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ett effektiviseringskrav på 2 procent per år i samtliga nämnder 2027–2029.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ge kommunstyrelsen i uppdrag att ta fram en konkret effektiviseringsplan senast december 2026.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skydda skola, vård och omsorg från besparingar vid genomförandet.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uppnådda besparingar i delårsrapporten 2027.</w:t>
      </w:r>
    </w:p>
    <w:p>
      <w:pPr>
        <w:spacing w:before="360"/>
      </w:pPr>
    </w:p>
    <w:p>
      <w:r>
        <w:t xml:space="preserve">Tanum,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Tanum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2026-06-06T01:48:31.534Z</dcterms:created>
  <dcterms:modified xsi:type="dcterms:W3CDTF">2026-06-06T01:48:31.534Z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